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ague Gothic" w:hAnsi="League Gothic"/>
          <w:color w:val="1C2030"/>
          <w:sz w:val="56"/>
        </w:rPr>
        <w:t>PROYECTO DE RESOLUCIÓN (EJEMPLO)</w:t>
      </w:r>
    </w:p>
    <w:p>
      <w:r>
        <w:rPr>
          <w:b/>
          <w:sz w:val="17"/>
        </w:rPr>
        <w:t xml:space="preserve">Cómo se usa este ejemplo. </w:t>
      </w:r>
      <w:r>
        <w:rPr>
          <w:color w:val="5B6075"/>
          <w:sz w:val="17"/>
        </w:rPr>
        <w:t>Las cláusulas preambulares (en cursiva, terminan en coma) explican por qué se actúa; las operativas (numeradas, terminan en punto y coma y la última en punto) dicen qué se hace. Los patrocinadores la redactan; los firmantes solo piden que se debata. Se entrega a la mesa antes de leerse en el pleno.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/>
                <w:color w:val="5B6075"/>
                <w:sz w:val="16"/>
              </w:rPr>
              <w:t>COMITÉ</w:t>
            </w:r>
          </w:p>
        </w:tc>
        <w:tc>
          <w:tcPr>
            <w:tcW w:type="dxa" w:w="4876"/>
          </w:tcPr>
          <w:p>
            <w:r>
              <w:t>Asamblea General</w:t>
            </w:r>
          </w:p>
        </w:tc>
      </w:tr>
      <w:tr>
        <w:tc>
          <w:tcPr>
            <w:tcW w:type="dxa" w:w="4876"/>
          </w:tcPr>
          <w:p>
            <w:r>
              <w:rPr>
                <w:b/>
                <w:color w:val="5B6075"/>
                <w:sz w:val="16"/>
              </w:rPr>
              <w:t>TÓPICO</w:t>
            </w:r>
          </w:p>
        </w:tc>
        <w:tc>
          <w:tcPr>
            <w:tcW w:type="dxa" w:w="4876"/>
          </w:tcPr>
          <w:p>
            <w:r>
              <w:t>Fortalecimiento de la cooperación internacional para el acceso a la educación de niñas, niños y adolescentes desplazados</w:t>
            </w:r>
          </w:p>
        </w:tc>
      </w:tr>
      <w:tr>
        <w:tc>
          <w:tcPr>
            <w:tcW w:type="dxa" w:w="4876"/>
          </w:tcPr>
          <w:p>
            <w:r>
              <w:rPr>
                <w:b/>
                <w:color w:val="5B6075"/>
                <w:sz w:val="16"/>
              </w:rPr>
              <w:t>PATROCINADORES</w:t>
            </w:r>
          </w:p>
        </w:tc>
        <w:tc>
          <w:tcPr>
            <w:tcW w:type="dxa" w:w="4876"/>
          </w:tcPr>
          <w:p>
            <w:r>
              <w:t>México, Colombia, España, Kenia</w:t>
            </w:r>
          </w:p>
        </w:tc>
      </w:tr>
      <w:tr>
        <w:tc>
          <w:tcPr>
            <w:tcW w:type="dxa" w:w="4876"/>
          </w:tcPr>
          <w:p>
            <w:r>
              <w:rPr>
                <w:b/>
                <w:color w:val="5B6075"/>
                <w:sz w:val="16"/>
              </w:rPr>
              <w:t>FIRMANTES</w:t>
            </w:r>
          </w:p>
        </w:tc>
        <w:tc>
          <w:tcPr>
            <w:tcW w:type="dxa" w:w="4876"/>
          </w:tcPr>
          <w:p>
            <w:r>
              <w:t>Argentina, Canadá, Chile, Costa Rica, Francia, Guatemala, Jordania, Noruega, Perú, Uruguay</w:t>
            </w:r>
          </w:p>
        </w:tc>
      </w:tr>
    </w:tbl>
    <w:p/>
    <w:p>
      <w:r>
        <w:rPr>
          <w:b/>
        </w:rPr>
        <w:t>La Asamblea General,</w:t>
      </w:r>
    </w:p>
    <w:p>
      <w:r>
        <w:rPr>
          <w:i/>
        </w:rPr>
        <w:t>Reafirmando</w:t>
      </w:r>
      <w:r>
        <w:t xml:space="preserve"> la Convención sobre los Derechos del Niño, en particular sus artículos 28 y 29 sobre el derecho a la educación,</w:t>
      </w:r>
    </w:p>
    <w:p>
      <w:r>
        <w:rPr>
          <w:i/>
        </w:rPr>
        <w:t>Recordando</w:t>
      </w:r>
      <w:r>
        <w:t xml:space="preserve"> la resolución 70/1 de la Asamblea General, "Transformar nuestro mundo: la Agenda 2030 para el Desarrollo Sostenible", y su Objetivo 4,</w:t>
      </w:r>
    </w:p>
    <w:p>
      <w:r>
        <w:rPr>
          <w:i/>
        </w:rPr>
        <w:t>Profundamente preocupada</w:t>
      </w:r>
      <w:r>
        <w:t xml:space="preserve"> por el número de niñas, niños y adolescentes desplazados que permanecen fuera de la escuela durante periodos prolongados,</w:t>
      </w:r>
    </w:p>
    <w:p>
      <w:r>
        <w:rPr>
          <w:i/>
        </w:rPr>
        <w:t>Reconociendo</w:t>
      </w:r>
      <w:r>
        <w:t xml:space="preserve"> la labor de UNICEF, ACNUR y las organizaciones de la sociedad civil en la educación en situaciones de emergencia,</w:t>
      </w:r>
    </w:p>
    <w:p>
      <w:r>
        <w:rPr>
          <w:i/>
        </w:rPr>
        <w:t>Tomando nota</w:t>
      </w:r>
      <w:r>
        <w:t xml:space="preserve"> de que los países de origen, tránsito y destino comparten la responsabilidad de garantizar la continuidad educativa,</w:t>
      </w:r>
    </w:p>
    <w:p>
      <w:r>
        <w:t xml:space="preserve">1. </w:t>
      </w:r>
      <w:r>
        <w:rPr>
          <w:i/>
        </w:rPr>
        <w:t>Insta</w:t>
      </w:r>
      <w:r>
        <w:t xml:space="preserve"> a los Estados miembros a garantizar la inscripción escolar de toda persona menor de 18 años con independencia de su situación migratoria o de la documentación con que cuente;</w:t>
      </w:r>
    </w:p>
    <w:p>
      <w:r>
        <w:t xml:space="preserve">2. </w:t>
      </w:r>
      <w:r>
        <w:rPr>
          <w:i/>
        </w:rPr>
        <w:t>Alienta</w:t>
      </w:r>
      <w:r>
        <w:t xml:space="preserve"> a los Estados a establecer mecanismos regionales de reconocimiento de estudios y de equivalencias, con plazos de respuesta no mayores a 60 días;</w:t>
      </w:r>
    </w:p>
    <w:p>
      <w:r>
        <w:t xml:space="preserve">3. </w:t>
      </w:r>
      <w:r>
        <w:rPr>
          <w:i/>
        </w:rPr>
        <w:t>Solicita</w:t>
      </w:r>
      <w:r>
        <w:t xml:space="preserve"> a UNICEF que, en coordinación con ACNUR, presente a la Asamblea General un informe anual sobre la cobertura educativa de la población desplazada, desglosado por edad, sexo y país;</w:t>
      </w:r>
    </w:p>
    <w:p>
      <w:r>
        <w:t xml:space="preserve">4. </w:t>
      </w:r>
      <w:r>
        <w:rPr>
          <w:i/>
        </w:rPr>
        <w:t>Invita</w:t>
      </w:r>
      <w:r>
        <w:t xml:space="preserve"> a los Estados donantes y a las instituciones financieras internacionales a destinar recursos adicionales a la educación en emergencias, con prioridad a los países que acogen a más personas desplazadas;</w:t>
      </w:r>
    </w:p>
    <w:p>
      <w:r>
        <w:t xml:space="preserve">5. </w:t>
      </w:r>
      <w:r>
        <w:rPr>
          <w:i/>
        </w:rPr>
        <w:t>Recomienda</w:t>
      </w:r>
      <w:r>
        <w:t xml:space="preserve"> la formación de docentes en atención a estudiantes desplazados, incluida la enseñanza en lenguas maternas cuando sea posible;</w:t>
      </w:r>
    </w:p>
    <w:p>
      <w:r>
        <w:t xml:space="preserve">6. </w:t>
      </w:r>
      <w:r>
        <w:rPr>
          <w:i/>
        </w:rPr>
        <w:t>Decide</w:t>
      </w:r>
      <w:r>
        <w:t xml:space="preserve"> seguir ocupándose de la cuestión.</w:t>
      </w:r>
    </w:p>
    <w:sectPr w:rsidR="00FC693F" w:rsidRPr="0006063C" w:rsidSect="00034616">
      <w:headerReference w:type="default" r:id="rId9"/>
      <w:footerReference w:type="default" r:id="rId10"/>
      <w:pgSz w:w="12246" w:h="15817"/>
      <w:pgMar w:top="90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075"/>
        <w:sz w:val="16"/>
      </w:rPr>
      <w:t>MUNMX Esmeralda 2027 · 11, 12 y 13 de marzo · PrepaTec Esmeralda · esmun.com.mx · @esmunmx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2511628" cy="54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firma_ESMUN_MUNMX_2027_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1628" cy="54000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color w:val="5B6075"/>
        <w:sz w:val="16"/>
      </w:rPr>
      <w:t>Modelo de Naciones Unidas · PrepaTec Esmeralda ·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color w:val="1C20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