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ague Gothic" w:hAnsi="League Gothic"/>
          <w:color w:val="1C2030"/>
          <w:sz w:val="56"/>
        </w:rPr>
        <w:t>PAPEL DE POSICIÓN (EJEMPLO)</w:t>
      </w:r>
    </w:p>
    <w:p>
      <w:r>
        <w:rPr>
          <w:b/>
          <w:sz w:val="17"/>
        </w:rPr>
        <w:t xml:space="preserve">Cómo se usa este ejemplo. </w:t>
      </w:r>
      <w:r>
        <w:rPr>
          <w:color w:val="5B6075"/>
          <w:sz w:val="17"/>
        </w:rPr>
        <w:t>Un papel de posición ocupa una página: antecedentes del tema, postura oficial del país, lo que ya ha hecho y lo que propone. Se escribe en tercera persona, con datos verificables y sin opiniones personales, y se entrega antes de la primera sesión.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/>
                <w:color w:val="5B6075"/>
                <w:sz w:val="16"/>
              </w:rPr>
              <w:t>COMITÉ</w:t>
            </w:r>
          </w:p>
        </w:tc>
        <w:tc>
          <w:tcPr>
            <w:tcW w:type="dxa" w:w="4876"/>
          </w:tcPr>
          <w:p>
            <w:r>
              <w:t>UNICEF · Fondo de las Naciones Unidas para la Infancia</w:t>
            </w:r>
          </w:p>
        </w:tc>
      </w:tr>
      <w:tr>
        <w:tc>
          <w:tcPr>
            <w:tcW w:type="dxa" w:w="4876"/>
          </w:tcPr>
          <w:p>
            <w:r>
              <w:rPr>
                <w:b/>
                <w:color w:val="5B6075"/>
                <w:sz w:val="16"/>
              </w:rPr>
              <w:t>DELEGACIÓN</w:t>
            </w:r>
          </w:p>
        </w:tc>
        <w:tc>
          <w:tcPr>
            <w:tcW w:type="dxa" w:w="4876"/>
          </w:tcPr>
          <w:p>
            <w:r>
              <w:t>Estados Unidos Mexicanos</w:t>
            </w:r>
          </w:p>
        </w:tc>
      </w:tr>
      <w:tr>
        <w:tc>
          <w:tcPr>
            <w:tcW w:type="dxa" w:w="4876"/>
          </w:tcPr>
          <w:p>
            <w:r>
              <w:rPr>
                <w:b/>
                <w:color w:val="5B6075"/>
                <w:sz w:val="16"/>
              </w:rPr>
              <w:t>DELEGADO</w:t>
            </w:r>
          </w:p>
        </w:tc>
        <w:tc>
          <w:tcPr>
            <w:tcW w:type="dxa" w:w="4876"/>
          </w:tcPr>
          <w:p>
            <w:r>
              <w:t>Nombre Apellido · PrepaTec Esmeralda</w:t>
            </w:r>
          </w:p>
        </w:tc>
      </w:tr>
      <w:tr>
        <w:tc>
          <w:tcPr>
            <w:tcW w:type="dxa" w:w="4876"/>
          </w:tcPr>
          <w:p>
            <w:r>
              <w:rPr>
                <w:b/>
                <w:color w:val="5B6075"/>
                <w:sz w:val="16"/>
              </w:rPr>
              <w:t>TÓPICO</w:t>
            </w:r>
          </w:p>
        </w:tc>
        <w:tc>
          <w:tcPr>
            <w:tcW w:type="dxa" w:w="4876"/>
          </w:tcPr>
          <w:p>
            <w:r>
              <w:t>Acceso a la educación de niñas, niños y adolescentes en contextos de desplazamiento forzado</w:t>
            </w:r>
          </w:p>
        </w:tc>
      </w:tr>
    </w:tbl>
    <w:p/>
    <w:p>
      <w:r>
        <w:rPr>
          <w:b/>
          <w:color w:val="253C82"/>
          <w:sz w:val="19"/>
        </w:rPr>
        <w:t>I. ANTECEDENTES</w:t>
      </w:r>
    </w:p>
    <w:p>
      <w:r>
        <w:t>Millones de niñas, niños y adolescentes en el mundo viven desplazados por conflictos, violencia o desastres, y una parte importante de ellos queda fuera de la escuela durante años. La Convención sobre los Derechos del Niño (1989) reconoce el derecho de toda persona menor de 18 años a la educación, sin distinción por su situación migratoria. UNICEF, con la Junta Ejecutiva y en coordinación con ACNUR, apoya programas de educación en emergencias, pero el financiamiento sigue por debajo de las necesidades.</w:t>
      </w:r>
    </w:p>
    <w:p>
      <w:r>
        <w:rPr>
          <w:b/>
          <w:color w:val="253C82"/>
          <w:sz w:val="19"/>
        </w:rPr>
        <w:t>II. POSTURA DEL PAÍS</w:t>
      </w:r>
    </w:p>
    <w:p>
      <w:r>
        <w:t>México ratificó la Convención sobre los Derechos del Niño en 1990 y reconoce en su Constitución el derecho a la educación. Como país de origen, tránsito, destino y retorno de personas migrantes, México sostiene que la educación no puede condicionarse a documentos de identidad o residencia y que la respuesta debe ser regional: ningún país de la ruta migratoria puede resolver el problema solo.</w:t>
      </w:r>
    </w:p>
    <w:p>
      <w:r>
        <w:rPr>
          <w:b/>
          <w:color w:val="253C82"/>
          <w:sz w:val="19"/>
        </w:rPr>
        <w:t>III. ACCIONES PREVIAS</w:t>
      </w:r>
    </w:p>
    <w:p>
      <w:r>
        <w:t>La delegación destaca las medidas que permiten inscribir a estudiantes sin documentación completa, el reconocimiento de estudios cursados en otros países y los programas de UNICEF México con autoridades estatales en entidades de alta movilidad. Reconoce, al mismo tiempo, que la cobertura es desigual y que faltan datos para saber cuántos estudiantes desplazados quedan fuera del sistema.</w:t>
      </w:r>
    </w:p>
    <w:p>
      <w:r>
        <w:rPr>
          <w:b/>
          <w:color w:val="253C82"/>
          <w:sz w:val="19"/>
        </w:rPr>
        <w:t>IV. PROPUESTAS</w:t>
      </w:r>
    </w:p>
    <w:p>
      <w:r>
        <w:t>La delegación propone: (1) un fondo de respuesta rápida de UNICEF para educación en emergencias con desembolso en menos de 30 días; (2) un mecanismo regional de reconocimiento de estudios entre países de la ruta migratoria; (3) formación de docentes en atención a estudiantes desplazados, con materiales en lenguas indígenas y en español; y (4) un sistema común de registro que permita seguir la trayectoria escolar de cada estudiante entre países, con protección de datos.</w:t>
      </w:r>
    </w:p>
    <w:sectPr w:rsidR="00FC693F" w:rsidRPr="0006063C" w:rsidSect="00034616">
      <w:headerReference w:type="default" r:id="rId9"/>
      <w:footerReference w:type="default" r:id="rId10"/>
      <w:pgSz w:w="12246" w:h="15817"/>
      <w:pgMar w:top="90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075"/>
        <w:sz w:val="16"/>
      </w:rPr>
      <w:t>MUNMX Esmeralda 2027 · 11, 12 y 13 de marzo · PrepaTec Esmeralda · esmun.com.mx · @esmunmx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2511628" cy="54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firma_ESMUN_MUNMX_2027_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1628" cy="540000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color w:val="5B6075"/>
        <w:sz w:val="16"/>
      </w:rPr>
      <w:t>Modelo de Naciones Unidas · PrepaTec Esmeralda ·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color w:val="1C20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